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Arial" w:hAnsi="Arial" w:eastAsia="宋体" w:cs="Arial"/>
          <w:b/>
          <w:bCs/>
          <w:sz w:val="32"/>
          <w:szCs w:val="32"/>
          <w:lang w:val="en-GB"/>
        </w:rPr>
      </w:pPr>
    </w:p>
    <w:p>
      <w:pPr>
        <w:jc w:val="both"/>
        <w:rPr>
          <w:rFonts w:ascii="Arial" w:hAnsi="Arial" w:eastAsia="宋体" w:cs="Arial"/>
          <w:b/>
          <w:bCs/>
          <w:sz w:val="32"/>
          <w:szCs w:val="32"/>
          <w:lang w:val="en-GB"/>
        </w:rPr>
      </w:pPr>
    </w:p>
    <w:p>
      <w:pPr>
        <w:jc w:val="both"/>
        <w:rPr>
          <w:rFonts w:ascii="Arial" w:hAnsi="Arial" w:eastAsia="宋体" w:cs="Arial"/>
          <w:b/>
          <w:bCs/>
          <w:sz w:val="32"/>
          <w:szCs w:val="32"/>
          <w:lang w:val="en-GB"/>
        </w:rPr>
      </w:pPr>
    </w:p>
    <w:p>
      <w:pPr>
        <w:rPr>
          <w:rFonts w:ascii="Arial" w:hAnsi="Arial" w:eastAsia="宋体" w:cs="Arial"/>
          <w:b/>
          <w:color w:val="3E8EDE"/>
          <w:sz w:val="40"/>
          <w:szCs w:val="56"/>
          <w:lang w:val="en-US"/>
        </w:rPr>
      </w:pPr>
    </w:p>
    <w:p>
      <w:pPr>
        <w:rPr>
          <w:rFonts w:ascii="Arial" w:hAnsi="Arial" w:eastAsia="宋体" w:cs="Arial"/>
          <w:lang w:val="en-US"/>
        </w:rPr>
      </w:pPr>
      <w:r>
        <w:rPr>
          <w:rFonts w:hint="eastAsia" w:ascii="Arial" w:hAnsi="Arial" w:eastAsia="宋体" w:cs="Arial"/>
          <w:b/>
          <w:color w:val="3E8EDE"/>
          <w:sz w:val="40"/>
          <w:szCs w:val="56"/>
          <w:lang w:val="en-US" w:eastAsia="zh-CN"/>
        </w:rPr>
        <w:t>联合国</w:t>
      </w:r>
      <w:r>
        <w:rPr>
          <w:rFonts w:hint="eastAsia" w:ascii="Arial" w:hAnsi="Arial" w:eastAsia="宋体" w:cs="Arial"/>
          <w:b/>
          <w:color w:val="3E8EDE"/>
          <w:sz w:val="40"/>
          <w:szCs w:val="56"/>
          <w:lang w:val="en-US"/>
        </w:rPr>
        <w:t>训</w:t>
      </w:r>
      <w:r>
        <w:rPr>
          <w:rFonts w:hint="eastAsia" w:ascii="Arial" w:hAnsi="Arial" w:eastAsia="宋体" w:cs="Arial"/>
          <w:b/>
          <w:color w:val="3E8EDE"/>
          <w:sz w:val="40"/>
          <w:szCs w:val="56"/>
          <w:lang w:val="en-US" w:eastAsia="zh-CN"/>
        </w:rPr>
        <w:t>练</w:t>
      </w:r>
      <w:r>
        <w:rPr>
          <w:rFonts w:hint="eastAsia" w:ascii="Arial" w:hAnsi="Arial" w:eastAsia="宋体" w:cs="Arial"/>
          <w:b/>
          <w:color w:val="3E8EDE"/>
          <w:sz w:val="40"/>
          <w:szCs w:val="56"/>
          <w:lang w:val="en-US"/>
        </w:rPr>
        <w:t>研</w:t>
      </w:r>
      <w:r>
        <w:rPr>
          <w:rFonts w:hint="eastAsia" w:ascii="Arial" w:hAnsi="Arial" w:eastAsia="宋体" w:cs="Arial"/>
          <w:b/>
          <w:color w:val="3E8EDE"/>
          <w:sz w:val="40"/>
          <w:szCs w:val="56"/>
          <w:lang w:val="en-US" w:eastAsia="zh-CN"/>
        </w:rPr>
        <w:t>究</w:t>
      </w:r>
      <w:r>
        <w:rPr>
          <w:rFonts w:hint="eastAsia" w:ascii="Arial" w:hAnsi="Arial" w:eastAsia="宋体" w:cs="Arial"/>
          <w:b/>
          <w:color w:val="3E8EDE"/>
          <w:sz w:val="40"/>
          <w:szCs w:val="56"/>
          <w:lang w:val="en-US"/>
        </w:rPr>
        <w:t>所</w:t>
      </w:r>
      <w:r>
        <w:rPr>
          <w:rFonts w:hint="eastAsia" w:ascii="Arial" w:hAnsi="Arial" w:eastAsia="宋体" w:cs="Arial"/>
          <w:b/>
          <w:color w:val="3E8EDE"/>
          <w:sz w:val="40"/>
          <w:szCs w:val="56"/>
          <w:lang w:val="en-US" w:eastAsia="zh-CN"/>
        </w:rPr>
        <w:t>（</w:t>
      </w:r>
      <w:r>
        <w:rPr>
          <w:rFonts w:hint="default" w:ascii="Times New Roman" w:hAnsi="Times New Roman" w:eastAsia="宋体" w:cs="Times New Roman"/>
          <w:b/>
          <w:color w:val="3E8EDE"/>
          <w:sz w:val="40"/>
          <w:szCs w:val="56"/>
          <w:lang w:val="en-US" w:eastAsia="zh-CN"/>
        </w:rPr>
        <w:t>UNITAR</w:t>
      </w:r>
      <w:r>
        <w:rPr>
          <w:rFonts w:hint="eastAsia" w:ascii="Arial" w:hAnsi="Arial" w:eastAsia="宋体" w:cs="Arial"/>
          <w:b/>
          <w:color w:val="3E8EDE"/>
          <w:sz w:val="40"/>
          <w:szCs w:val="56"/>
          <w:lang w:val="en-US" w:eastAsia="zh-CN"/>
        </w:rPr>
        <w:t>）简</w:t>
      </w:r>
      <w:r>
        <w:rPr>
          <w:rFonts w:hint="eastAsia" w:ascii="Arial" w:hAnsi="Arial" w:eastAsia="宋体" w:cs="Arial"/>
          <w:b/>
          <w:color w:val="3E8EDE"/>
          <w:sz w:val="40"/>
          <w:szCs w:val="56"/>
          <w:lang w:val="en-US"/>
        </w:rPr>
        <w:t>介</w:t>
      </w:r>
      <w:r>
        <w:rPr>
          <w:rFonts w:ascii="Arial" w:hAnsi="Arial" w:eastAsia="宋体" w:cs="Arial"/>
          <w:b/>
          <w:color w:val="3E8EDE"/>
          <w:sz w:val="40"/>
          <w:szCs w:val="56"/>
          <w:lang w:val="en-US"/>
        </w:rPr>
        <w:t xml:space="preserve"> </w:t>
      </w:r>
    </w:p>
    <w:p>
      <w:pPr>
        <w:pStyle w:val="2"/>
        <w:rPr>
          <w:rFonts w:ascii="Arial" w:hAnsi="Arial" w:eastAsia="宋体" w:cs="Arial"/>
          <w:lang w:val="en-GB"/>
        </w:rPr>
      </w:pPr>
    </w:p>
    <w:p>
      <w:pPr>
        <w:jc w:val="both"/>
        <w:rPr>
          <w:rFonts w:ascii="Arial" w:hAnsi="Arial" w:eastAsia="宋体" w:cs="Arial"/>
          <w:b/>
          <w:bCs/>
          <w:color w:val="0078D4"/>
          <w:lang w:val="en-GB"/>
        </w:rPr>
      </w:pPr>
      <w:r>
        <w:rPr>
          <w:rFonts w:hint="eastAsia" w:ascii="Arial" w:hAnsi="Arial" w:eastAsia="宋体" w:cs="Arial"/>
          <w:b/>
          <w:bCs/>
          <w:color w:val="0078D4"/>
          <w:lang w:val="en-GB"/>
        </w:rPr>
        <w:t>概述</w:t>
      </w:r>
      <w:r>
        <w:rPr>
          <w:rFonts w:ascii="Arial" w:hAnsi="Arial" w:eastAsia="宋体" w:cs="Arial"/>
          <w:b/>
          <w:bCs/>
          <w:color w:val="0078D4"/>
          <w:lang w:val="en-GB"/>
        </w:rPr>
        <w:t xml:space="preserve"> </w:t>
      </w:r>
    </w:p>
    <w:p>
      <w:pPr>
        <w:jc w:val="both"/>
        <w:rPr>
          <w:rFonts w:ascii="Arial" w:hAnsi="Arial" w:eastAsia="宋体" w:cs="Arial"/>
          <w:lang w:val="en-GB"/>
        </w:rPr>
      </w:pPr>
    </w:p>
    <w:p>
      <w:pPr>
        <w:jc w:val="both"/>
        <w:rPr>
          <w:rFonts w:hint="default" w:ascii="Times New Roman" w:hAnsi="Times New Roman" w:eastAsia="宋体" w:cs="Times New Roman"/>
          <w:lang w:val="en-GB"/>
        </w:rPr>
      </w:pPr>
      <w:r>
        <w:rPr>
          <w:rFonts w:hint="default" w:ascii="Times New Roman" w:hAnsi="Times New Roman" w:eastAsia="宋体" w:cs="Times New Roman"/>
          <w:lang w:val="en-GB"/>
        </w:rPr>
        <w:t>联合国训练研究所（</w:t>
      </w:r>
      <w:bookmarkStart w:id="1" w:name="_GoBack"/>
      <w:bookmarkEnd w:id="1"/>
      <w:r>
        <w:rPr>
          <w:rFonts w:hint="default" w:ascii="Times New Roman" w:hAnsi="Times New Roman" w:eastAsia="宋体" w:cs="Times New Roman"/>
          <w:lang w:val="en-GB"/>
        </w:rPr>
        <w:t>United Nations Institute for Training and Research，UNITAR）是联合国的</w:t>
      </w:r>
      <w:r>
        <w:rPr>
          <w:rFonts w:hint="eastAsia" w:ascii="Times New Roman" w:hAnsi="Times New Roman" w:eastAsia="宋体" w:cs="Times New Roman"/>
          <w:lang w:val="en-GB" w:eastAsia="zh-CN"/>
        </w:rPr>
        <w:t>培训</w:t>
      </w:r>
      <w:r>
        <w:rPr>
          <w:rFonts w:hint="default" w:ascii="Times New Roman" w:hAnsi="Times New Roman" w:eastAsia="宋体" w:cs="Times New Roman"/>
          <w:lang w:val="en-GB"/>
        </w:rPr>
        <w:t>和研究机构，为个人、组织和机构提供创新</w:t>
      </w:r>
      <w:r>
        <w:rPr>
          <w:rFonts w:hint="eastAsia" w:ascii="Times New Roman" w:hAnsi="Times New Roman" w:eastAsia="宋体" w:cs="Times New Roman"/>
          <w:lang w:val="en-GB" w:eastAsia="zh-CN"/>
        </w:rPr>
        <w:t>的</w:t>
      </w:r>
      <w:r>
        <w:rPr>
          <w:rFonts w:hint="default" w:ascii="Times New Roman" w:hAnsi="Times New Roman" w:eastAsia="宋体" w:cs="Times New Roman"/>
          <w:lang w:val="en-GB"/>
        </w:rPr>
        <w:t>学习解决方案</w:t>
      </w:r>
      <w:r>
        <w:rPr>
          <w:rFonts w:hint="eastAsia" w:ascii="Times New Roman" w:hAnsi="Times New Roman" w:eastAsia="宋体" w:cs="Times New Roman"/>
          <w:lang w:val="en-GB" w:eastAsia="zh-CN"/>
        </w:rPr>
        <w:t>，</w:t>
      </w:r>
      <w:r>
        <w:rPr>
          <w:rFonts w:hint="default" w:ascii="Times New Roman" w:hAnsi="Times New Roman" w:eastAsia="宋体" w:cs="Times New Roman"/>
          <w:lang w:val="en-GB"/>
        </w:rPr>
        <w:t>以</w:t>
      </w:r>
      <w:r>
        <w:rPr>
          <w:rFonts w:hint="eastAsia" w:ascii="Times New Roman" w:hAnsi="Times New Roman" w:eastAsia="宋体" w:cs="Times New Roman"/>
          <w:lang w:val="en-GB" w:eastAsia="zh-CN"/>
        </w:rPr>
        <w:t>加强</w:t>
      </w:r>
      <w:r>
        <w:rPr>
          <w:rFonts w:hint="default" w:ascii="Times New Roman" w:hAnsi="Times New Roman" w:eastAsia="宋体" w:cs="Times New Roman"/>
          <w:lang w:val="en-GB"/>
        </w:rPr>
        <w:t>全球决策并支持国家层面的行动，</w:t>
      </w:r>
      <w:r>
        <w:rPr>
          <w:rFonts w:hint="eastAsia" w:ascii="Times New Roman" w:hAnsi="Times New Roman" w:eastAsia="宋体" w:cs="Times New Roman"/>
          <w:lang w:val="en-GB" w:eastAsia="zh-CN"/>
        </w:rPr>
        <w:t>塑造</w:t>
      </w:r>
      <w:r>
        <w:rPr>
          <w:rFonts w:hint="default" w:ascii="Times New Roman" w:hAnsi="Times New Roman" w:eastAsia="宋体" w:cs="Times New Roman"/>
          <w:lang w:val="en-GB"/>
        </w:rPr>
        <w:t>更美好的未来。</w:t>
      </w: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lang w:val="en-GB"/>
        </w:rPr>
      </w:pP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成立于1963年，</w:t>
      </w:r>
      <w:r>
        <w:rPr>
          <w:rFonts w:hint="eastAsia" w:ascii="Times New Roman" w:hAnsi="Times New Roman" w:eastAsia="宋体" w:cs="Times New Roman"/>
          <w:lang w:val="en-GB" w:eastAsia="zh-CN"/>
        </w:rPr>
        <w:t>具备</w:t>
      </w:r>
      <w:r>
        <w:rPr>
          <w:rFonts w:hint="default" w:ascii="Times New Roman" w:hAnsi="Times New Roman" w:eastAsia="宋体" w:cs="Times New Roman"/>
          <w:lang w:val="en-GB"/>
        </w:rPr>
        <w:t>基础设施和资源</w:t>
      </w:r>
      <w:r>
        <w:rPr>
          <w:rFonts w:hint="eastAsia" w:ascii="Times New Roman" w:hAnsi="Times New Roman" w:eastAsia="宋体" w:cs="Times New Roman"/>
          <w:lang w:val="en-GB" w:eastAsia="zh-CN"/>
        </w:rPr>
        <w:t>，</w:t>
      </w:r>
      <w:r>
        <w:rPr>
          <w:rFonts w:hint="default" w:ascii="Times New Roman" w:hAnsi="Times New Roman" w:eastAsia="宋体" w:cs="Times New Roman"/>
          <w:lang w:val="en-GB"/>
        </w:rPr>
        <w:t>为渴望从事外交事业</w:t>
      </w:r>
      <w:r>
        <w:rPr>
          <w:rFonts w:hint="eastAsia" w:ascii="Times New Roman" w:hAnsi="Times New Roman" w:eastAsia="宋体" w:cs="Times New Roman"/>
          <w:lang w:val="en-GB" w:eastAsia="zh-CN"/>
        </w:rPr>
        <w:t>、有抱负的</w:t>
      </w:r>
      <w:r>
        <w:rPr>
          <w:rFonts w:hint="default" w:ascii="Times New Roman" w:hAnsi="Times New Roman" w:eastAsia="宋体" w:cs="Times New Roman"/>
          <w:lang w:val="en-GB"/>
        </w:rPr>
        <w:t>年轻一代提供</w:t>
      </w:r>
      <w:r>
        <w:rPr>
          <w:rFonts w:hint="eastAsia" w:ascii="Times New Roman" w:hAnsi="Times New Roman" w:eastAsia="宋体" w:cs="Times New Roman"/>
          <w:lang w:val="en-GB" w:eastAsia="zh-CN"/>
        </w:rPr>
        <w:t>一流的培训</w:t>
      </w:r>
      <w:r>
        <w:rPr>
          <w:rFonts w:hint="default" w:ascii="Times New Roman" w:hAnsi="Times New Roman" w:eastAsia="宋体" w:cs="Times New Roman"/>
          <w:lang w:val="en-GB"/>
        </w:rPr>
        <w:t>活动。</w:t>
      </w:r>
      <w:r>
        <w:rPr>
          <w:rFonts w:hint="eastAsia" w:ascii="Times New Roman" w:hAnsi="Times New Roman" w:eastAsia="宋体" w:cs="Times New Roman"/>
          <w:lang w:val="en-GB" w:eastAsia="zh-CN"/>
        </w:rPr>
        <w:t>培训</w:t>
      </w:r>
      <w:r>
        <w:rPr>
          <w:rFonts w:hint="default" w:ascii="Times New Roman" w:hAnsi="Times New Roman" w:eastAsia="宋体" w:cs="Times New Roman"/>
          <w:lang w:val="en-GB"/>
        </w:rPr>
        <w:t>由</w:t>
      </w:r>
      <w:r>
        <w:rPr>
          <w:rFonts w:hint="eastAsia" w:ascii="Times New Roman" w:hAnsi="Times New Roman" w:eastAsia="宋体" w:cs="Times New Roman"/>
          <w:lang w:val="en-GB" w:eastAsia="zh-CN"/>
        </w:rPr>
        <w:t>各个</w:t>
      </w:r>
      <w:r>
        <w:rPr>
          <w:rFonts w:hint="default" w:ascii="Times New Roman" w:hAnsi="Times New Roman" w:eastAsia="宋体" w:cs="Times New Roman"/>
          <w:lang w:val="en-GB"/>
        </w:rPr>
        <w:t>相关领域的专家提供，如前联合国外交官、联合国工作人员以及具有多元文化背景的国际顾问。</w:t>
      </w: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lang w:val="en-GB"/>
        </w:rPr>
      </w:pP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的</w:t>
      </w:r>
      <w:r>
        <w:rPr>
          <w:rFonts w:hint="eastAsia" w:ascii="Times New Roman" w:hAnsi="Times New Roman" w:eastAsia="宋体" w:cs="Times New Roman"/>
          <w:lang w:val="en-GB" w:eastAsia="zh-CN"/>
        </w:rPr>
        <w:t>全部</w:t>
      </w:r>
      <w:r>
        <w:rPr>
          <w:rFonts w:hint="default" w:ascii="Times New Roman" w:hAnsi="Times New Roman" w:eastAsia="宋体" w:cs="Times New Roman"/>
          <w:lang w:val="en-GB"/>
        </w:rPr>
        <w:t>受益者</w:t>
      </w:r>
      <w:r>
        <w:rPr>
          <w:rFonts w:hint="eastAsia" w:ascii="Times New Roman" w:hAnsi="Times New Roman" w:eastAsia="宋体" w:cs="Times New Roman"/>
          <w:lang w:val="en-GB" w:eastAsia="zh-CN"/>
        </w:rPr>
        <w:t>是通过</w:t>
      </w:r>
      <w:r>
        <w:rPr>
          <w:rFonts w:hint="default" w:ascii="Times New Roman" w:hAnsi="Times New Roman" w:eastAsia="宋体" w:cs="Times New Roman"/>
          <w:lang w:val="en-GB"/>
        </w:rPr>
        <w:t>896场活动（相当于历年</w:t>
      </w:r>
      <w:r>
        <w:rPr>
          <w:rFonts w:hint="eastAsia" w:ascii="Times New Roman" w:hAnsi="Times New Roman" w:eastAsia="宋体" w:cs="Times New Roman"/>
          <w:lang w:val="en-GB" w:eastAsia="zh-CN"/>
        </w:rPr>
        <w:t>的</w:t>
      </w:r>
      <w:r>
        <w:rPr>
          <w:rFonts w:hint="default" w:ascii="Times New Roman" w:hAnsi="Times New Roman" w:eastAsia="宋体" w:cs="Times New Roman"/>
          <w:lang w:val="en-GB"/>
        </w:rPr>
        <w:t>12</w:t>
      </w:r>
      <w:r>
        <w:rPr>
          <w:rFonts w:hint="eastAsia" w:ascii="Times New Roman Regular" w:hAnsi="Times New Roman Regular" w:eastAsia="宋体" w:cs="Times New Roman Regular"/>
          <w:sz w:val="24"/>
          <w:szCs w:val="24"/>
          <w:lang w:val="en-US" w:eastAsia="zh-CN"/>
        </w:rPr>
        <w:t>,</w:t>
      </w:r>
      <w:r>
        <w:rPr>
          <w:rFonts w:hint="default" w:ascii="Times New Roman" w:hAnsi="Times New Roman" w:eastAsia="宋体" w:cs="Times New Roman"/>
          <w:lang w:val="en-GB"/>
        </w:rPr>
        <w:t>173个活动日）产生</w:t>
      </w:r>
      <w:r>
        <w:rPr>
          <w:rFonts w:hint="eastAsia" w:ascii="Times New Roman" w:hAnsi="Times New Roman" w:eastAsia="宋体" w:cs="Times New Roman"/>
          <w:lang w:val="en-GB" w:eastAsia="zh-CN"/>
        </w:rPr>
        <w:t>的</w:t>
      </w:r>
      <w:r>
        <w:rPr>
          <w:rFonts w:hint="default" w:ascii="Times New Roman" w:hAnsi="Times New Roman" w:eastAsia="宋体" w:cs="Times New Roman"/>
          <w:lang w:val="en-GB"/>
        </w:rPr>
        <w:t>。</w:t>
      </w: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为2020年与学习有关的活动颁发了58,091份参与和完成证书，这些活动对学习情况进行了客观评估。</w:t>
      </w: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服务对象广泛，49%的学习相关受益者来自非国</w:t>
      </w:r>
      <w:r>
        <w:rPr>
          <w:rFonts w:hint="eastAsia" w:ascii="Times New Roman" w:hAnsi="Times New Roman" w:eastAsia="宋体" w:cs="Times New Roman"/>
          <w:lang w:val="en-GB" w:eastAsia="zh-CN"/>
        </w:rPr>
        <w:t>家</w:t>
      </w:r>
      <w:r>
        <w:rPr>
          <w:rFonts w:hint="default" w:ascii="Times New Roman" w:hAnsi="Times New Roman" w:eastAsia="宋体" w:cs="Times New Roman"/>
          <w:lang w:val="en-GB"/>
        </w:rPr>
        <w:t>部门，包括非政府组织、学术界和</w:t>
      </w:r>
      <w:r>
        <w:rPr>
          <w:rFonts w:hint="eastAsia" w:ascii="Times New Roman" w:hAnsi="Times New Roman" w:eastAsia="宋体" w:cs="Times New Roman"/>
          <w:lang w:val="en-GB" w:eastAsia="zh-CN"/>
        </w:rPr>
        <w:t>企业</w:t>
      </w:r>
      <w:r>
        <w:rPr>
          <w:rFonts w:hint="default" w:ascii="Times New Roman" w:hAnsi="Times New Roman" w:eastAsia="宋体" w:cs="Times New Roman"/>
          <w:lang w:val="en-GB"/>
        </w:rPr>
        <w:t>；10%来自政府，包括国家、州和地方；6%来自联合国和其他国际组织；35%来自其他</w:t>
      </w:r>
      <w:r>
        <w:rPr>
          <w:rFonts w:hint="eastAsia" w:ascii="Times New Roman" w:hAnsi="Times New Roman" w:eastAsia="宋体" w:cs="Times New Roman"/>
          <w:lang w:val="en-GB" w:eastAsia="zh-CN"/>
        </w:rPr>
        <w:t>行业</w:t>
      </w:r>
      <w:r>
        <w:rPr>
          <w:rFonts w:hint="default" w:ascii="Times New Roman" w:hAnsi="Times New Roman" w:eastAsia="宋体" w:cs="Times New Roman"/>
          <w:lang w:val="en-GB"/>
        </w:rPr>
        <w:t>。</w:t>
      </w:r>
    </w:p>
    <w:p>
      <w:pPr>
        <w:jc w:val="both"/>
        <w:rPr>
          <w:rFonts w:ascii="Arial" w:hAnsi="Arial" w:eastAsia="宋体" w:cs="Arial"/>
          <w:lang w:val="en-GB"/>
        </w:rPr>
      </w:pPr>
    </w:p>
    <w:p>
      <w:pPr>
        <w:jc w:val="both"/>
        <w:rPr>
          <w:rFonts w:ascii="Arial" w:hAnsi="Arial" w:eastAsia="宋体" w:cs="Arial"/>
          <w:b/>
          <w:bCs/>
          <w:color w:val="0078D4"/>
          <w:lang w:val="en-GB"/>
        </w:rPr>
      </w:pPr>
      <w:r>
        <w:rPr>
          <w:rFonts w:hint="eastAsia" w:ascii="Arial" w:hAnsi="Arial" w:eastAsia="宋体" w:cs="Arial"/>
          <w:b/>
          <w:bCs/>
          <w:color w:val="0078D4"/>
          <w:lang w:val="en-GB"/>
        </w:rPr>
        <w:t>组织</w:t>
      </w:r>
      <w:r>
        <w:rPr>
          <w:rFonts w:hint="eastAsia" w:ascii="Arial" w:hAnsi="Arial" w:eastAsia="宋体" w:cs="Arial"/>
          <w:b/>
          <w:bCs/>
          <w:color w:val="0078D4"/>
          <w:lang w:val="en-GB" w:eastAsia="zh-CN"/>
        </w:rPr>
        <w:t>架</w:t>
      </w:r>
      <w:r>
        <w:rPr>
          <w:rFonts w:hint="eastAsia" w:ascii="Arial" w:hAnsi="Arial" w:eastAsia="宋体" w:cs="Arial"/>
          <w:b/>
          <w:bCs/>
          <w:color w:val="0078D4"/>
          <w:lang w:val="en-GB"/>
        </w:rPr>
        <w:t>构</w:t>
      </w:r>
    </w:p>
    <w:p>
      <w:pPr>
        <w:jc w:val="both"/>
        <w:rPr>
          <w:rFonts w:ascii="Arial" w:hAnsi="Arial" w:eastAsia="宋体" w:cs="Arial"/>
          <w:b/>
          <w:bCs/>
          <w:color w:val="0078D4"/>
          <w:lang w:val="en-GB"/>
        </w:rPr>
      </w:pPr>
    </w:p>
    <w:p>
      <w:pPr>
        <w:jc w:val="center"/>
        <w:rPr>
          <w:rFonts w:ascii="Arial" w:hAnsi="Arial" w:eastAsia="宋体" w:cs="Arial"/>
          <w:b/>
          <w:bCs/>
          <w:color w:val="0078D4"/>
          <w:lang w:val="en-GB"/>
        </w:rPr>
      </w:pPr>
      <w:r>
        <w:rPr>
          <w:rFonts w:hint="eastAsia" w:ascii="Arial" w:hAnsi="Arial" w:cs="Arial" w:eastAsiaTheme="minorEastAsia"/>
          <w:b/>
          <w:bCs/>
          <w:color w:val="0078D4"/>
          <w:lang w:val="en-GB" w:eastAsia="zh-CN"/>
        </w:rPr>
        <w:drawing>
          <wp:inline distT="0" distB="0" distL="114300" distR="114300">
            <wp:extent cx="4971415" cy="3623945"/>
            <wp:effectExtent l="0" t="0" r="635" b="14605"/>
            <wp:docPr id="6" name="图片 6" descr="WechatIMG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512"/>
                    <pic:cNvPicPr>
                      <a:picLocks noChangeAspect="1"/>
                    </pic:cNvPicPr>
                  </pic:nvPicPr>
                  <pic:blipFill>
                    <a:blip r:embed="rId5"/>
                    <a:stretch>
                      <a:fillRect/>
                    </a:stretch>
                  </pic:blipFill>
                  <pic:spPr>
                    <a:xfrm>
                      <a:off x="0" y="0"/>
                      <a:ext cx="4971415" cy="3623945"/>
                    </a:xfrm>
                    <a:prstGeom prst="rect">
                      <a:avLst/>
                    </a:prstGeom>
                  </pic:spPr>
                </pic:pic>
              </a:graphicData>
            </a:graphic>
          </wp:inline>
        </w:drawing>
      </w:r>
    </w:p>
    <w:p>
      <w:pPr>
        <w:jc w:val="both"/>
        <w:rPr>
          <w:rFonts w:ascii="Arial" w:hAnsi="Arial" w:eastAsia="宋体" w:cs="Arial"/>
          <w:b/>
          <w:bCs/>
          <w:color w:val="0078D4"/>
          <w:lang w:val="en-GB"/>
        </w:rPr>
      </w:pPr>
    </w:p>
    <w:p>
      <w:pPr>
        <w:jc w:val="both"/>
        <w:rPr>
          <w:rFonts w:ascii="Arial" w:hAnsi="Arial" w:eastAsia="宋体" w:cs="Arial"/>
          <w:b/>
          <w:bCs/>
          <w:color w:val="0078D4"/>
          <w:lang w:val="en-GB"/>
        </w:rPr>
      </w:pPr>
    </w:p>
    <w:p>
      <w:pPr>
        <w:jc w:val="both"/>
        <w:rPr>
          <w:rFonts w:ascii="Arial" w:hAnsi="Arial" w:eastAsia="宋体" w:cs="Arial"/>
          <w:b/>
          <w:bCs/>
          <w:color w:val="0078D4"/>
          <w:lang w:val="en-GB"/>
        </w:rPr>
      </w:pPr>
    </w:p>
    <w:p>
      <w:pPr>
        <w:jc w:val="both"/>
        <w:rPr>
          <w:rFonts w:ascii="Arial" w:hAnsi="Arial" w:eastAsia="宋体" w:cs="Arial"/>
          <w:color w:val="000000" w:themeColor="text1"/>
          <w:lang w:val="en-GB"/>
          <w14:textFill>
            <w14:solidFill>
              <w14:schemeClr w14:val="tx1"/>
            </w14:solidFill>
          </w14:textFill>
        </w:rPr>
      </w:pPr>
    </w:p>
    <w:p>
      <w:pPr>
        <w:jc w:val="both"/>
        <w:rPr>
          <w:rFonts w:hint="default" w:ascii="Times New Roman" w:hAnsi="Times New Roman" w:eastAsia="宋体" w:cs="Times New Roman"/>
          <w:color w:val="000000" w:themeColor="text1"/>
          <w:lang w:val="en-GB"/>
          <w14:textFill>
            <w14:solidFill>
              <w14:schemeClr w14:val="tx1"/>
            </w14:solidFill>
          </w14:textFill>
        </w:rPr>
      </w:pPr>
      <w:r>
        <w:rPr>
          <w:rFonts w:hint="eastAsia" w:ascii="Times New Roman" w:hAnsi="Times New Roman" w:eastAsia="宋体" w:cs="Times New Roman"/>
          <w:lang w:val="en-US" w:eastAsia="zh-CN"/>
        </w:rPr>
        <w:t>UNITAR</w:t>
      </w:r>
      <w:r>
        <w:rPr>
          <w:rFonts w:hint="default" w:ascii="Times New Roman" w:hAnsi="Times New Roman" w:eastAsia="宋体" w:cs="Times New Roman"/>
          <w:color w:val="000000" w:themeColor="text1"/>
          <w:lang w:val="en-GB"/>
          <w14:textFill>
            <w14:solidFill>
              <w14:schemeClr w14:val="tx1"/>
            </w14:solidFill>
          </w14:textFill>
        </w:rPr>
        <w:t>的战略</w:t>
      </w:r>
      <w:r>
        <w:rPr>
          <w:rFonts w:hint="eastAsia" w:ascii="Times New Roman" w:hAnsi="Times New Roman" w:eastAsia="宋体" w:cs="Times New Roman"/>
          <w:color w:val="000000" w:themeColor="text1"/>
          <w:lang w:val="en-GB" w:eastAsia="zh-CN"/>
          <w14:textFill>
            <w14:solidFill>
              <w14:schemeClr w14:val="tx1"/>
            </w14:solidFill>
          </w14:textFill>
        </w:rPr>
        <w:t>完全聚焦</w:t>
      </w:r>
      <w:r>
        <w:rPr>
          <w:rFonts w:hint="default" w:ascii="Times New Roman" w:hAnsi="Times New Roman" w:eastAsia="宋体" w:cs="Times New Roman"/>
          <w:color w:val="000000" w:themeColor="text1"/>
          <w:lang w:val="en-GB"/>
          <w14:textFill>
            <w14:solidFill>
              <w14:schemeClr w14:val="tx1"/>
            </w14:solidFill>
          </w14:textFill>
        </w:rPr>
        <w:t>于实现可持续发展目标（Sustainable Development Goals，SDGs），支持各国政府实施2030年议程。</w:t>
      </w:r>
      <w:r>
        <w:rPr>
          <w:rFonts w:hint="eastAsia" w:ascii="Times New Roman" w:hAnsi="Times New Roman" w:eastAsia="宋体" w:cs="Times New Roman"/>
          <w:lang w:val="en-US" w:eastAsia="zh-CN"/>
        </w:rPr>
        <w:t>UNITAR</w:t>
      </w:r>
      <w:r>
        <w:rPr>
          <w:rFonts w:hint="default" w:ascii="Times New Roman" w:hAnsi="Times New Roman" w:eastAsia="宋体" w:cs="Times New Roman"/>
          <w:color w:val="000000" w:themeColor="text1"/>
          <w:lang w:val="en-GB"/>
          <w14:textFill>
            <w14:solidFill>
              <w14:schemeClr w14:val="tx1"/>
            </w14:solidFill>
          </w14:textFill>
        </w:rPr>
        <w:t>将可持续发展目标作为工作的指导原则，围绕2030年议程五个主题支柱中的四个（和平、</w:t>
      </w:r>
      <w:r>
        <w:rPr>
          <w:rFonts w:hint="eastAsia" w:ascii="Times New Roman" w:hAnsi="Times New Roman" w:eastAsia="宋体" w:cs="Times New Roman"/>
          <w:color w:val="000000" w:themeColor="text1"/>
          <w:lang w:val="en-GB" w:eastAsia="zh-CN"/>
          <w14:textFill>
            <w14:solidFill>
              <w14:schemeClr w14:val="tx1"/>
            </w14:solidFill>
          </w14:textFill>
        </w:rPr>
        <w:t>人类</w:t>
      </w:r>
      <w:r>
        <w:rPr>
          <w:rFonts w:hint="default" w:ascii="Times New Roman" w:hAnsi="Times New Roman" w:eastAsia="宋体" w:cs="Times New Roman"/>
          <w:color w:val="000000" w:themeColor="text1"/>
          <w:lang w:val="en-GB"/>
          <w14:textFill>
            <w14:solidFill>
              <w14:schemeClr w14:val="tx1"/>
            </w14:solidFill>
          </w14:textFill>
        </w:rPr>
        <w:t xml:space="preserve">、地球和繁荣）制定战略目标。 </w:t>
      </w:r>
    </w:p>
    <w:p>
      <w:pPr>
        <w:jc w:val="both"/>
        <w:rPr>
          <w:rFonts w:hint="default" w:ascii="Times New Roman" w:hAnsi="Times New Roman" w:eastAsia="宋体" w:cs="Times New Roman"/>
          <w:color w:val="000000" w:themeColor="text1"/>
          <w:lang w:val="en-GB"/>
          <w14:textFill>
            <w14:solidFill>
              <w14:schemeClr w14:val="tx1"/>
            </w14:solidFill>
          </w14:textFill>
        </w:rPr>
      </w:pPr>
    </w:p>
    <w:p>
      <w:pPr>
        <w:jc w:val="both"/>
        <w:rPr>
          <w:rFonts w:hint="default" w:ascii="Times New Roman" w:hAnsi="Times New Roman" w:eastAsia="宋体" w:cs="Times New Roman"/>
          <w:color w:val="000000" w:themeColor="text1"/>
          <w:lang w:val="en-GB"/>
          <w14:textFill>
            <w14:solidFill>
              <w14:schemeClr w14:val="tx1"/>
            </w14:solidFill>
          </w14:textFill>
        </w:rPr>
      </w:pPr>
      <w:r>
        <w:rPr>
          <w:rFonts w:hint="default" w:ascii="Times New Roman" w:hAnsi="Times New Roman" w:eastAsia="宋体" w:cs="Times New Roman"/>
          <w:color w:val="000000" w:themeColor="text1"/>
          <w:lang w:val="en-GB"/>
          <w14:textFill>
            <w14:solidFill>
              <w14:schemeClr w14:val="tx1"/>
            </w14:solidFill>
          </w14:textFill>
        </w:rPr>
        <w:t>因此，多边外交司（Division of Multilateral Diplomacy，DMD）处于四个</w:t>
      </w:r>
      <w:r>
        <w:rPr>
          <w:rFonts w:hint="eastAsia" w:ascii="Times New Roman" w:hAnsi="Times New Roman" w:eastAsia="宋体" w:cs="Times New Roman"/>
          <w:color w:val="000000" w:themeColor="text1"/>
          <w:lang w:val="en-GB" w:eastAsia="zh-CN"/>
          <w14:textFill>
            <w14:solidFill>
              <w14:schemeClr w14:val="tx1"/>
            </w14:solidFill>
          </w14:textFill>
        </w:rPr>
        <w:t>主</w:t>
      </w:r>
      <w:r>
        <w:rPr>
          <w:rFonts w:hint="default" w:ascii="Times New Roman" w:hAnsi="Times New Roman" w:eastAsia="宋体" w:cs="Times New Roman"/>
          <w:color w:val="000000" w:themeColor="text1"/>
          <w:lang w:val="en-GB"/>
          <w14:textFill>
            <w14:solidFill>
              <w14:schemeClr w14:val="tx1"/>
            </w14:solidFill>
          </w14:textFill>
        </w:rPr>
        <w:t>题司的交叉位置。DMD致力于提高外交官、公职人员、代表、学生、专业人员和其他利益相关方的能力，以提升在联合国以及其他国际和区域组织召开的会议</w:t>
      </w:r>
      <w:r>
        <w:rPr>
          <w:rFonts w:hint="eastAsia" w:ascii="Times New Roman" w:hAnsi="Times New Roman" w:eastAsia="宋体" w:cs="Times New Roman"/>
          <w:color w:val="000000" w:themeColor="text1"/>
          <w:lang w:val="en-GB" w:eastAsia="zh-CN"/>
          <w14:textFill>
            <w14:solidFill>
              <w14:schemeClr w14:val="tx1"/>
            </w14:solidFill>
          </w14:textFill>
        </w:rPr>
        <w:t>会谈中</w:t>
      </w:r>
      <w:r>
        <w:rPr>
          <w:rFonts w:hint="default" w:ascii="Times New Roman" w:hAnsi="Times New Roman" w:eastAsia="宋体" w:cs="Times New Roman"/>
          <w:color w:val="000000" w:themeColor="text1"/>
          <w:lang w:val="en-GB"/>
          <w14:textFill>
            <w14:solidFill>
              <w14:schemeClr w14:val="tx1"/>
            </w14:solidFill>
          </w14:textFill>
        </w:rPr>
        <w:t>的表现，并在多边环境中创造公平的竞争环境。DMD具有独特的定位，可以支持各国加强各级能力建设的国家机构，促进会员国参与全球治理，为加快落实2030年议程</w:t>
      </w:r>
      <w:r>
        <w:rPr>
          <w:rFonts w:hint="eastAsia" w:ascii="Times New Roman" w:hAnsi="Times New Roman" w:eastAsia="宋体" w:cs="Times New Roman"/>
          <w:color w:val="000000" w:themeColor="text1"/>
          <w:lang w:val="en-GB" w:eastAsia="zh-CN"/>
          <w14:textFill>
            <w14:solidFill>
              <w14:schemeClr w14:val="tx1"/>
            </w14:solidFill>
          </w14:textFill>
        </w:rPr>
        <w:t>做</w:t>
      </w:r>
      <w:r>
        <w:rPr>
          <w:rFonts w:hint="default" w:ascii="Times New Roman" w:hAnsi="Times New Roman" w:eastAsia="宋体" w:cs="Times New Roman"/>
          <w:color w:val="000000" w:themeColor="text1"/>
          <w:lang w:val="en-GB"/>
          <w14:textFill>
            <w14:solidFill>
              <w14:schemeClr w14:val="tx1"/>
            </w14:solidFill>
          </w14:textFill>
        </w:rPr>
        <w:t>出贡献。</w:t>
      </w:r>
    </w:p>
    <w:p>
      <w:pPr>
        <w:jc w:val="both"/>
        <w:rPr>
          <w:rFonts w:hint="default" w:ascii="Times New Roman" w:hAnsi="Times New Roman" w:eastAsia="宋体" w:cs="Times New Roman"/>
          <w:color w:val="000000" w:themeColor="text1"/>
          <w:lang w:val="en-GB"/>
          <w14:textFill>
            <w14:solidFill>
              <w14:schemeClr w14:val="tx1"/>
            </w14:solidFill>
          </w14:textFill>
        </w:rPr>
      </w:pPr>
    </w:p>
    <w:p>
      <w:pPr>
        <w:jc w:val="both"/>
        <w:rPr>
          <w:rFonts w:hint="default" w:ascii="Times New Roman" w:hAnsi="Times New Roman" w:eastAsia="宋体" w:cs="Times New Roman"/>
          <w:color w:val="000000" w:themeColor="text1"/>
          <w:lang w:val="en-GB"/>
          <w14:textFill>
            <w14:solidFill>
              <w14:schemeClr w14:val="tx1"/>
            </w14:solidFill>
          </w14:textFill>
        </w:rPr>
      </w:pPr>
      <w:r>
        <w:rPr>
          <w:rFonts w:hint="default" w:ascii="Times New Roman" w:hAnsi="Times New Roman" w:eastAsia="宋体" w:cs="Times New Roman"/>
          <w:color w:val="000000" w:themeColor="text1"/>
          <w:lang w:val="en-GB"/>
          <w14:textFill>
            <w14:solidFill>
              <w14:schemeClr w14:val="tx1"/>
            </w14:solidFill>
          </w14:textFill>
        </w:rPr>
        <w:t>执行主任办公室为</w:t>
      </w:r>
      <w:r>
        <w:rPr>
          <w:rFonts w:hint="eastAsia" w:ascii="Times New Roman" w:hAnsi="Times New Roman" w:eastAsia="宋体" w:cs="Times New Roman"/>
          <w:lang w:val="en-US" w:eastAsia="zh-CN"/>
        </w:rPr>
        <w:t>UNITAR</w:t>
      </w:r>
      <w:r>
        <w:rPr>
          <w:rFonts w:hint="default" w:ascii="Times New Roman" w:hAnsi="Times New Roman" w:eastAsia="宋体" w:cs="Times New Roman"/>
          <w:color w:val="000000" w:themeColor="text1"/>
          <w:lang w:val="en-GB"/>
          <w14:textFill>
            <w14:solidFill>
              <w14:schemeClr w14:val="tx1"/>
            </w14:solidFill>
          </w14:textFill>
        </w:rPr>
        <w:t>提供战略指导和方向。战略规划和绩效司负责绩效规划、监测和评估</w:t>
      </w:r>
      <w:r>
        <w:rPr>
          <w:rFonts w:hint="eastAsia" w:ascii="Times New Roman" w:hAnsi="Times New Roman" w:eastAsia="宋体" w:cs="Times New Roman"/>
          <w:color w:val="000000" w:themeColor="text1"/>
          <w:lang w:val="en-GB" w:eastAsia="zh-CN"/>
          <w14:textFill>
            <w14:solidFill>
              <w14:schemeClr w14:val="tx1"/>
            </w14:solidFill>
          </w14:textFill>
        </w:rPr>
        <w:t>，</w:t>
      </w:r>
      <w:r>
        <w:rPr>
          <w:rFonts w:hint="default" w:ascii="Times New Roman" w:hAnsi="Times New Roman" w:eastAsia="宋体" w:cs="Times New Roman"/>
          <w:color w:val="000000" w:themeColor="text1"/>
          <w:lang w:val="en-GB"/>
          <w14:textFill>
            <w14:solidFill>
              <w14:schemeClr w14:val="tx1"/>
            </w14:solidFill>
          </w14:textFill>
        </w:rPr>
        <w:t>以及伙伴关系和资源调动，而业务司从业务方面支持项目的实施。</w:t>
      </w: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b/>
          <w:bCs/>
          <w:color w:val="0078D4"/>
          <w:lang w:val="en-GB"/>
        </w:rPr>
      </w:pPr>
      <w:r>
        <w:rPr>
          <w:rFonts w:hint="default" w:ascii="Times New Roman" w:hAnsi="Times New Roman" w:eastAsia="宋体" w:cs="Times New Roman"/>
          <w:b/>
          <w:bCs/>
          <w:color w:val="0078D4"/>
          <w:lang w:val="en-GB"/>
        </w:rPr>
        <w:t>愿景、使命和核心职能</w:t>
      </w: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lang w:val="en-GB"/>
        </w:rPr>
      </w:pP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的</w:t>
      </w:r>
      <w:r>
        <w:rPr>
          <w:rFonts w:hint="eastAsia" w:ascii="Times New Roman" w:hAnsi="Times New Roman" w:eastAsia="宋体" w:cs="Times New Roman"/>
          <w:lang w:val="en-GB" w:eastAsia="zh-CN"/>
        </w:rPr>
        <w:t>目标</w:t>
      </w:r>
      <w:r>
        <w:rPr>
          <w:rFonts w:hint="default" w:ascii="Times New Roman" w:hAnsi="Times New Roman" w:eastAsia="宋体" w:cs="Times New Roman"/>
          <w:lang w:val="en-GB"/>
        </w:rPr>
        <w:t>是推动成果和方案</w:t>
      </w:r>
      <w:r>
        <w:rPr>
          <w:rFonts w:hint="eastAsia" w:ascii="Times New Roman" w:hAnsi="Times New Roman" w:eastAsia="宋体" w:cs="Times New Roman"/>
          <w:lang w:val="en-GB" w:eastAsia="zh-CN"/>
        </w:rPr>
        <w:t>拟订</w:t>
      </w:r>
      <w:r>
        <w:rPr>
          <w:rFonts w:hint="default" w:ascii="Times New Roman" w:hAnsi="Times New Roman" w:eastAsia="宋体" w:cs="Times New Roman"/>
          <w:lang w:val="en-GB"/>
        </w:rPr>
        <w:t>，</w:t>
      </w:r>
      <w:r>
        <w:rPr>
          <w:rFonts w:hint="eastAsia" w:ascii="Times New Roman" w:hAnsi="Times New Roman" w:eastAsia="宋体" w:cs="Times New Roman"/>
          <w:lang w:val="en-GB" w:eastAsia="zh-CN"/>
        </w:rPr>
        <w:t>以</w:t>
      </w:r>
      <w:r>
        <w:rPr>
          <w:rFonts w:hint="default" w:ascii="Times New Roman" w:hAnsi="Times New Roman" w:eastAsia="宋体" w:cs="Times New Roman"/>
          <w:lang w:val="en-GB"/>
        </w:rPr>
        <w:t>发展个人、机构和组织的能力，应对全球挑战。</w:t>
      </w: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lang w:val="en-GB"/>
        </w:rPr>
      </w:pP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的使命是通过高质量的学习解决方案和相关知识产品和服务，发展各国和其他联合国利益相关</w:t>
      </w:r>
      <w:r>
        <w:rPr>
          <w:rFonts w:hint="eastAsia" w:ascii="Times New Roman" w:hAnsi="Times New Roman" w:eastAsia="宋体" w:cs="Times New Roman"/>
          <w:lang w:val="en-GB" w:eastAsia="zh-CN"/>
        </w:rPr>
        <w:t>方</w:t>
      </w:r>
      <w:r>
        <w:rPr>
          <w:rFonts w:hint="default" w:ascii="Times New Roman" w:hAnsi="Times New Roman" w:eastAsia="宋体" w:cs="Times New Roman"/>
          <w:lang w:val="en-GB"/>
        </w:rPr>
        <w:t>的个人、机构和组织的能力，</w:t>
      </w:r>
      <w:r>
        <w:rPr>
          <w:rFonts w:hint="eastAsia" w:ascii="Times New Roman" w:hAnsi="Times New Roman" w:eastAsia="宋体" w:cs="Times New Roman"/>
          <w:lang w:val="en-GB" w:eastAsia="zh-CN"/>
        </w:rPr>
        <w:t>以加强</w:t>
      </w:r>
      <w:r>
        <w:rPr>
          <w:rFonts w:hint="default" w:ascii="Times New Roman" w:hAnsi="Times New Roman" w:eastAsia="宋体" w:cs="Times New Roman"/>
          <w:lang w:val="en-GB"/>
        </w:rPr>
        <w:t>决策并支持国家层面的行动，应对全球挑战。</w:t>
      </w: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lang w:val="en-GB"/>
        </w:rPr>
      </w:pP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的核心职能如下：</w:t>
      </w:r>
    </w:p>
    <w:p>
      <w:pPr>
        <w:jc w:val="both"/>
        <w:rPr>
          <w:rFonts w:hint="default" w:ascii="Times New Roman" w:hAnsi="Times New Roman" w:eastAsia="宋体" w:cs="Times New Roman"/>
          <w:lang w:val="en-GB"/>
        </w:rPr>
      </w:pPr>
    </w:p>
    <w:p>
      <w:pPr>
        <w:pStyle w:val="9"/>
        <w:numPr>
          <w:ilvl w:val="0"/>
          <w:numId w:val="1"/>
        </w:numPr>
        <w:jc w:val="both"/>
        <w:rPr>
          <w:rFonts w:hint="default" w:ascii="Times New Roman" w:hAnsi="Times New Roman" w:eastAsia="宋体" w:cs="Times New Roman"/>
          <w:lang w:val="en-GB"/>
        </w:rPr>
      </w:pPr>
      <w:r>
        <w:rPr>
          <w:rFonts w:hint="default" w:ascii="Times New Roman" w:hAnsi="Times New Roman" w:eastAsia="宋体" w:cs="Times New Roman"/>
          <w:lang w:val="en-GB"/>
        </w:rPr>
        <w:t>提供高质量的学习解决方案，满足个人、组织和机构的能力发展需求；</w:t>
      </w:r>
    </w:p>
    <w:p>
      <w:pPr>
        <w:pStyle w:val="9"/>
        <w:numPr>
          <w:ilvl w:val="0"/>
          <w:numId w:val="1"/>
        </w:numPr>
        <w:jc w:val="both"/>
        <w:rPr>
          <w:rFonts w:hint="default" w:ascii="Times New Roman" w:hAnsi="Times New Roman" w:eastAsia="宋体" w:cs="Times New Roman"/>
          <w:lang w:val="en-GB"/>
        </w:rPr>
      </w:pPr>
      <w:r>
        <w:rPr>
          <w:rFonts w:hint="default" w:ascii="Times New Roman" w:hAnsi="Times New Roman" w:eastAsia="宋体" w:cs="Times New Roman"/>
          <w:lang w:val="en-GB"/>
        </w:rPr>
        <w:t>为各国政府、联合国和其他合作伙伴提供知识服务</w:t>
      </w:r>
      <w:r>
        <w:rPr>
          <w:rFonts w:hint="eastAsia" w:ascii="Times New Roman" w:hAnsi="Times New Roman" w:eastAsia="宋体" w:cs="Times New Roman"/>
          <w:lang w:val="en-GB" w:eastAsia="zh-CN"/>
        </w:rPr>
        <w:t>咨询</w:t>
      </w:r>
      <w:r>
        <w:rPr>
          <w:rFonts w:hint="default" w:ascii="Times New Roman" w:hAnsi="Times New Roman" w:eastAsia="宋体" w:cs="Times New Roman"/>
          <w:lang w:val="en-GB"/>
        </w:rPr>
        <w:t>和支持，包括基于技术的服务；</w:t>
      </w:r>
    </w:p>
    <w:p>
      <w:pPr>
        <w:pStyle w:val="9"/>
        <w:numPr>
          <w:ilvl w:val="0"/>
          <w:numId w:val="1"/>
        </w:numPr>
        <w:jc w:val="both"/>
        <w:rPr>
          <w:rFonts w:hint="default" w:ascii="Times New Roman" w:hAnsi="Times New Roman" w:eastAsia="宋体" w:cs="Times New Roman"/>
          <w:lang w:val="en-GB"/>
        </w:rPr>
      </w:pPr>
      <w:r>
        <w:rPr>
          <w:rFonts w:hint="default" w:ascii="Times New Roman" w:hAnsi="Times New Roman" w:eastAsia="宋体" w:cs="Times New Roman"/>
          <w:lang w:val="en-GB"/>
        </w:rPr>
        <w:t>通过</w:t>
      </w:r>
      <w:r>
        <w:rPr>
          <w:rFonts w:hint="eastAsia" w:ascii="Times New Roman" w:hAnsi="Times New Roman" w:eastAsia="宋体" w:cs="Times New Roman"/>
          <w:lang w:val="en-GB" w:eastAsia="zh-CN"/>
        </w:rPr>
        <w:t>网络化和</w:t>
      </w:r>
      <w:r>
        <w:rPr>
          <w:rFonts w:hint="default" w:ascii="Times New Roman" w:hAnsi="Times New Roman" w:eastAsia="宋体" w:cs="Times New Roman"/>
          <w:lang w:val="en-GB"/>
        </w:rPr>
        <w:t>创新</w:t>
      </w:r>
      <w:r>
        <w:rPr>
          <w:rFonts w:hint="eastAsia" w:ascii="Times New Roman" w:hAnsi="Times New Roman" w:eastAsia="宋体" w:cs="Times New Roman"/>
          <w:lang w:val="en-GB" w:eastAsia="zh-CN"/>
        </w:rPr>
        <w:t>性进</w:t>
      </w:r>
      <w:r>
        <w:rPr>
          <w:rFonts w:hint="default" w:ascii="Times New Roman" w:hAnsi="Times New Roman" w:eastAsia="宋体" w:cs="Times New Roman"/>
          <w:lang w:val="en-GB"/>
        </w:rPr>
        <w:t>程促进知识和经验共享；</w:t>
      </w:r>
    </w:p>
    <w:p>
      <w:pPr>
        <w:pStyle w:val="9"/>
        <w:numPr>
          <w:ilvl w:val="0"/>
          <w:numId w:val="1"/>
        </w:numPr>
        <w:jc w:val="both"/>
        <w:rPr>
          <w:rFonts w:hint="default" w:ascii="Times New Roman" w:hAnsi="Times New Roman" w:eastAsia="宋体" w:cs="Times New Roman"/>
          <w:lang w:val="en-GB"/>
        </w:rPr>
      </w:pPr>
      <w:r>
        <w:rPr>
          <w:rFonts w:hint="default" w:ascii="Times New Roman" w:hAnsi="Times New Roman" w:eastAsia="宋体" w:cs="Times New Roman"/>
          <w:lang w:val="en-GB"/>
        </w:rPr>
        <w:t>将创新战略、方式和方法融入学习和相关知识产品与服务中。</w:t>
      </w:r>
    </w:p>
    <w:p>
      <w:pPr>
        <w:rPr>
          <w:rFonts w:ascii="Arial" w:hAnsi="Arial" w:eastAsia="宋体" w:cs="Arial"/>
          <w:lang w:val="en-GB"/>
        </w:rPr>
      </w:pPr>
    </w:p>
    <w:p>
      <w:pPr>
        <w:rPr>
          <w:rFonts w:ascii="Arial" w:hAnsi="Arial" w:eastAsia="宋体" w:cs="Arial"/>
          <w:u w:val="single"/>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hint="default" w:ascii="Times New Roman" w:hAnsi="Times New Roman" w:eastAsia="宋体" w:cs="Times New Roman"/>
          <w:b/>
          <w:bCs/>
          <w:color w:val="0078D4"/>
          <w:lang w:val="en-GB"/>
        </w:rPr>
      </w:pPr>
    </w:p>
    <w:p>
      <w:pPr>
        <w:rPr>
          <w:rFonts w:ascii="Arial" w:hAnsi="Arial" w:eastAsia="宋体" w:cs="Arial"/>
          <w:b/>
          <w:bCs/>
          <w:color w:val="0078D4"/>
          <w:lang w:val="en-GB"/>
        </w:rPr>
      </w:pPr>
      <w:r>
        <w:rPr>
          <w:rFonts w:hint="eastAsia" w:ascii="Arial" w:hAnsi="Arial" w:eastAsia="宋体" w:cs="Arial"/>
          <w:b/>
          <w:bCs/>
          <w:color w:val="0078D4"/>
          <w:lang w:val="en-GB"/>
        </w:rPr>
        <w:t>联合国系统</w:t>
      </w:r>
      <w:r>
        <w:rPr>
          <w:rFonts w:hint="eastAsia" w:ascii="Arial" w:hAnsi="Arial" w:eastAsia="宋体" w:cs="Arial"/>
          <w:b/>
          <w:bCs/>
          <w:color w:val="0078D4"/>
          <w:lang w:val="en-GB" w:eastAsia="zh-CN"/>
        </w:rPr>
        <w:t>中的</w:t>
      </w:r>
      <w:r>
        <w:rPr>
          <w:rFonts w:hint="default" w:ascii="Times New Roman" w:hAnsi="Times New Roman" w:eastAsia="宋体" w:cs="Times New Roman"/>
          <w:b/>
          <w:bCs/>
          <w:color w:val="0078D4"/>
          <w:lang w:val="en-GB"/>
        </w:rPr>
        <w:t>UNITAR</w:t>
      </w:r>
    </w:p>
    <w:p>
      <w:pPr>
        <w:rPr>
          <w:rFonts w:ascii="Arial" w:hAnsi="Arial" w:eastAsia="宋体" w:cs="Arial"/>
          <w:lang w:val="en-GB"/>
        </w:rPr>
      </w:pPr>
      <w:r>
        <w:rPr>
          <w:rFonts w:ascii="Arial" w:hAnsi="Arial" w:eastAsia="宋体" w:cs="Arial"/>
          <w:lang w:val="en-GB"/>
        </w:rPr>
        <w:drawing>
          <wp:anchor distT="0" distB="0" distL="114300" distR="114300" simplePos="0" relativeHeight="251660288" behindDoc="0" locked="0" layoutInCell="1" allowOverlap="1">
            <wp:simplePos x="0" y="0"/>
            <wp:positionH relativeFrom="margin">
              <wp:align>left</wp:align>
            </wp:positionH>
            <wp:positionV relativeFrom="page">
              <wp:posOffset>2932430</wp:posOffset>
            </wp:positionV>
            <wp:extent cx="7264400" cy="5534660"/>
            <wp:effectExtent l="7620" t="0" r="1270" b="1270"/>
            <wp:wrapTopAndBottom/>
            <wp:docPr id="21416205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2053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l="2996" t="4956" r="3401" b="4642"/>
                    <a:stretch>
                      <a:fillRect/>
                    </a:stretch>
                  </pic:blipFill>
                  <pic:spPr>
                    <a:xfrm rot="16200000">
                      <a:off x="0" y="0"/>
                      <a:ext cx="7264400" cy="5534660"/>
                    </a:xfrm>
                    <a:prstGeom prst="rect">
                      <a:avLst/>
                    </a:prstGeom>
                    <a:noFill/>
                    <a:ln>
                      <a:noFill/>
                    </a:ln>
                  </pic:spPr>
                </pic:pic>
              </a:graphicData>
            </a:graphic>
          </wp:anchor>
        </w:drawing>
      </w:r>
    </w:p>
    <w:p>
      <w:pPr>
        <w:rPr>
          <w:rFonts w:ascii="Arial" w:hAnsi="Arial" w:eastAsia="宋体" w:cs="Arial"/>
          <w:lang w:val="en-GB"/>
        </w:rPr>
      </w:pPr>
    </w:p>
    <w:p>
      <w:pPr>
        <w:rPr>
          <w:rFonts w:ascii="Arial" w:hAnsi="Arial" w:eastAsia="宋体" w:cs="Arial"/>
          <w:lang w:val="en-GB"/>
        </w:rPr>
      </w:pPr>
    </w:p>
    <w:p>
      <w:pPr>
        <w:rPr>
          <w:rFonts w:ascii="Arial" w:hAnsi="Arial" w:eastAsia="宋体" w:cs="Arial"/>
          <w:lang w:val="en-GB"/>
        </w:rPr>
      </w:pPr>
    </w:p>
    <w:p>
      <w:pPr>
        <w:rPr>
          <w:rFonts w:ascii="Arial" w:hAnsi="Arial" w:eastAsia="宋体" w:cs="Arial"/>
          <w:u w:val="single"/>
          <w:lang w:val="en-GB"/>
        </w:rPr>
      </w:pPr>
    </w:p>
    <w:p>
      <w:pPr>
        <w:rPr>
          <w:rFonts w:ascii="Arial" w:hAnsi="Arial" w:eastAsia="宋体" w:cs="Arial"/>
          <w:b/>
          <w:bCs/>
          <w:color w:val="0078D4"/>
          <w:lang w:val="en-GB"/>
        </w:rPr>
      </w:pPr>
    </w:p>
    <w:p>
      <w:pPr>
        <w:rPr>
          <w:rFonts w:ascii="Arial" w:hAnsi="Arial" w:eastAsia="宋体" w:cs="Arial"/>
          <w:b/>
          <w:bCs/>
          <w:color w:val="0078D4"/>
          <w:lang w:val="en-GB"/>
        </w:rPr>
      </w:pPr>
    </w:p>
    <w:p>
      <w:pPr>
        <w:rPr>
          <w:rFonts w:ascii="Arial" w:hAnsi="Arial" w:eastAsia="宋体" w:cs="Arial"/>
          <w:lang w:val="en-GB"/>
        </w:rPr>
      </w:pPr>
      <w:r>
        <w:rPr>
          <w:rFonts w:hint="default" w:ascii="Times New Roman" w:hAnsi="Times New Roman" w:eastAsia="宋体" w:cs="Times New Roman"/>
          <w:b/>
          <w:bCs/>
          <w:color w:val="0078D4"/>
          <w:lang w:val="en-GB"/>
        </w:rPr>
        <w:t>UNITAR</w:t>
      </w:r>
      <w:r>
        <w:rPr>
          <w:rFonts w:hint="eastAsia" w:ascii="Arial" w:hAnsi="Arial" w:eastAsia="宋体" w:cs="Arial"/>
          <w:b/>
          <w:bCs/>
          <w:color w:val="0078D4"/>
          <w:lang w:val="en-GB"/>
        </w:rPr>
        <w:t>执行主任</w:t>
      </w:r>
    </w:p>
    <w:p>
      <w:pPr>
        <w:jc w:val="center"/>
        <w:rPr>
          <w:rFonts w:ascii="Arial" w:hAnsi="Arial" w:eastAsia="宋体" w:cs="Arial"/>
          <w:lang w:val="en-GB"/>
        </w:rPr>
      </w:pPr>
      <w:r>
        <w:rPr>
          <w:rFonts w:ascii="Arial" w:hAnsi="Arial" w:eastAsia="宋体" w:cs="Arial"/>
          <w:lang w:val="en-GB"/>
        </w:rPr>
        <w:drawing>
          <wp:anchor distT="0" distB="0" distL="0" distR="0" simplePos="0" relativeHeight="251659264" behindDoc="0" locked="0" layoutInCell="1" allowOverlap="1">
            <wp:simplePos x="0" y="0"/>
            <wp:positionH relativeFrom="column">
              <wp:posOffset>572135</wp:posOffset>
            </wp:positionH>
            <wp:positionV relativeFrom="paragraph">
              <wp:posOffset>99695</wp:posOffset>
            </wp:positionV>
            <wp:extent cx="4838065" cy="3048000"/>
            <wp:effectExtent l="0" t="0" r="8255" b="0"/>
            <wp:wrapTopAndBottom/>
            <wp:docPr id="4" name="Picture 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suit and tie&#10;&#10;Description automatically generated with medium confidenc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864199" cy="3064446"/>
                    </a:xfrm>
                    <a:prstGeom prst="rect">
                      <a:avLst/>
                    </a:prstGeom>
                  </pic:spPr>
                </pic:pic>
              </a:graphicData>
            </a:graphic>
          </wp:anchor>
        </w:drawing>
      </w:r>
    </w:p>
    <w:p>
      <w:pPr>
        <w:jc w:val="center"/>
        <w:rPr>
          <w:rFonts w:ascii="Arial" w:hAnsi="Arial" w:eastAsia="宋体" w:cs="Arial"/>
          <w:lang w:val="en-GB"/>
        </w:rPr>
      </w:pPr>
      <w:r>
        <w:rPr>
          <w:rFonts w:hint="eastAsia" w:ascii="Arial" w:hAnsi="Arial" w:eastAsia="宋体" w:cs="Arial"/>
          <w:lang w:val="en-GB"/>
        </w:rPr>
        <w:t>尼基尔·</w:t>
      </w:r>
      <w:r>
        <w:rPr>
          <w:rFonts w:hint="eastAsia" w:ascii="宋体" w:hAnsi="宋体" w:eastAsia="宋体" w:cs="宋体"/>
          <w:lang w:val="en-US" w:eastAsia="zh-CN"/>
        </w:rPr>
        <w:t>塞</w:t>
      </w:r>
      <w:r>
        <w:rPr>
          <w:rFonts w:hint="eastAsia" w:ascii="Arial" w:hAnsi="Arial" w:eastAsia="宋体" w:cs="Arial"/>
          <w:lang w:val="en-GB"/>
        </w:rPr>
        <w:t>斯（</w:t>
      </w:r>
      <w:r>
        <w:rPr>
          <w:rFonts w:hint="default" w:ascii="Times New Roman" w:hAnsi="Times New Roman" w:eastAsia="宋体" w:cs="Times New Roman"/>
          <w:lang w:val="en-GB"/>
        </w:rPr>
        <w:t>Nikhil Seth</w:t>
      </w:r>
      <w:r>
        <w:rPr>
          <w:rFonts w:hint="eastAsia" w:ascii="Arial" w:hAnsi="Arial" w:eastAsia="宋体" w:cs="Arial"/>
          <w:lang w:val="en-GB"/>
        </w:rPr>
        <w:t>）</w:t>
      </w:r>
    </w:p>
    <w:p>
      <w:pPr>
        <w:jc w:val="center"/>
        <w:rPr>
          <w:rFonts w:ascii="Arial" w:hAnsi="Arial" w:eastAsia="宋体" w:cs="Arial"/>
          <w:lang w:val="en-GB"/>
        </w:rPr>
      </w:pPr>
    </w:p>
    <w:p>
      <w:pPr>
        <w:jc w:val="both"/>
        <w:rPr>
          <w:rFonts w:hint="default" w:ascii="Times New Roman" w:hAnsi="Times New Roman" w:eastAsia="宋体" w:cs="Times New Roman"/>
          <w:lang w:val="en-GB"/>
        </w:rPr>
      </w:pPr>
      <w:bookmarkStart w:id="0" w:name="OLE_LINK3"/>
      <w:r>
        <w:rPr>
          <w:rFonts w:hint="default" w:ascii="Times New Roman" w:hAnsi="Times New Roman" w:eastAsia="宋体" w:cs="Times New Roman"/>
          <w:lang w:val="en-GB"/>
        </w:rPr>
        <w:t>尼基尔·塞</w:t>
      </w:r>
      <w:bookmarkEnd w:id="0"/>
      <w:r>
        <w:rPr>
          <w:rFonts w:hint="eastAsia" w:eastAsia="宋体" w:cs="Times New Roman"/>
          <w:lang w:val="en-GB" w:eastAsia="zh-CN"/>
        </w:rPr>
        <w:t>斯</w:t>
      </w:r>
      <w:r>
        <w:rPr>
          <w:rFonts w:hint="default" w:ascii="Times New Roman" w:hAnsi="Times New Roman" w:eastAsia="宋体" w:cs="Times New Roman"/>
          <w:lang w:val="en-GB"/>
        </w:rPr>
        <w:t xml:space="preserve">于2015年6月8日由联合国秘书长潘基文任命为联合国助理秘书长兼联合国训练研究所执行主任。 </w:t>
      </w:r>
    </w:p>
    <w:p>
      <w:pPr>
        <w:jc w:val="both"/>
        <w:rPr>
          <w:rFonts w:hint="default" w:ascii="Times New Roman" w:hAnsi="Times New Roman" w:eastAsia="宋体" w:cs="Times New Roman"/>
          <w:lang w:val="en-GB"/>
        </w:rPr>
      </w:pPr>
    </w:p>
    <w:p>
      <w:pPr>
        <w:jc w:val="both"/>
        <w:rPr>
          <w:rFonts w:hint="default" w:ascii="Times New Roman" w:hAnsi="Times New Roman" w:eastAsia="宋体" w:cs="Times New Roman"/>
          <w:lang w:val="en-GB"/>
        </w:rPr>
      </w:pPr>
      <w:r>
        <w:rPr>
          <w:rFonts w:hint="default" w:ascii="Times New Roman" w:hAnsi="Times New Roman" w:eastAsia="宋体" w:cs="Times New Roman"/>
          <w:lang w:val="en-GB"/>
        </w:rPr>
        <w:t>在加入</w:t>
      </w:r>
      <w:r>
        <w:rPr>
          <w:rFonts w:hint="eastAsia" w:ascii="Times New Roman" w:hAnsi="Times New Roman" w:eastAsia="宋体" w:cs="Times New Roman"/>
          <w:lang w:val="en-US" w:eastAsia="zh-CN"/>
        </w:rPr>
        <w:t>UNITAR</w:t>
      </w:r>
      <w:r>
        <w:rPr>
          <w:rFonts w:hint="default" w:ascii="Times New Roman" w:hAnsi="Times New Roman" w:eastAsia="宋体" w:cs="Times New Roman"/>
          <w:lang w:val="en-GB"/>
        </w:rPr>
        <w:t>担任执行主任之前，尼基尔·塞</w:t>
      </w:r>
      <w:r>
        <w:rPr>
          <w:rFonts w:hint="eastAsia" w:eastAsia="宋体" w:cs="Times New Roman"/>
          <w:lang w:val="en-GB" w:eastAsia="zh-CN"/>
        </w:rPr>
        <w:t>斯</w:t>
      </w:r>
      <w:r>
        <w:rPr>
          <w:rFonts w:hint="default" w:ascii="Times New Roman" w:hAnsi="Times New Roman" w:eastAsia="宋体" w:cs="Times New Roman"/>
          <w:lang w:val="en-GB"/>
        </w:rPr>
        <w:t>曾任纽约联合国秘书处经济和社会事务部 (Department of Economic and Social Affairs，DESA) 可持续发展司司长。在此期间，他作为“里约+20”峰会秘书处和第三次小岛屿发展中国家问题国际会议秘书处负责人，</w:t>
      </w:r>
      <w:r>
        <w:rPr>
          <w:rFonts w:hint="eastAsia" w:ascii="Times New Roman" w:hAnsi="Times New Roman" w:eastAsia="宋体" w:cs="Times New Roman"/>
          <w:lang w:val="en-GB" w:eastAsia="zh-CN"/>
        </w:rPr>
        <w:t>牵头筹备</w:t>
      </w:r>
      <w:r>
        <w:rPr>
          <w:rFonts w:hint="default" w:ascii="Times New Roman" w:hAnsi="Times New Roman" w:eastAsia="宋体" w:cs="Times New Roman"/>
          <w:lang w:val="en-GB"/>
        </w:rPr>
        <w:t>了分别在巴西里约和萨摩亚阿皮亚举行的这两场会议，并且密切参与协调和推进后续工作。塞斯</w:t>
      </w:r>
      <w:r>
        <w:rPr>
          <w:rFonts w:hint="eastAsia" w:ascii="Times New Roman" w:hAnsi="Times New Roman" w:eastAsia="宋体" w:cs="Times New Roman"/>
          <w:lang w:val="en-GB" w:eastAsia="zh-CN"/>
        </w:rPr>
        <w:t>先生所在部门</w:t>
      </w:r>
      <w:r>
        <w:rPr>
          <w:rFonts w:hint="default" w:ascii="Times New Roman" w:hAnsi="Times New Roman" w:eastAsia="宋体" w:cs="Times New Roman"/>
          <w:lang w:val="en-GB"/>
        </w:rPr>
        <w:t>还负责支持2015年后发展议程的政府间谈判，该议程于2015年9月在联合国可持续发展峰会上通过。</w:t>
      </w:r>
    </w:p>
    <w:p>
      <w:pPr>
        <w:jc w:val="both"/>
        <w:rPr>
          <w:rFonts w:hint="default" w:ascii="Times New Roman" w:hAnsi="Times New Roman" w:eastAsia="宋体" w:cs="Times New Roman"/>
          <w:lang w:val="en-GB"/>
        </w:rPr>
      </w:pPr>
    </w:p>
    <w:p>
      <w:pPr>
        <w:pStyle w:val="6"/>
        <w:shd w:val="clear" w:color="auto" w:fill="FFFFFF"/>
        <w:spacing w:before="0" w:beforeAutospacing="0" w:after="225" w:afterAutospacing="0"/>
        <w:jc w:val="both"/>
        <w:rPr>
          <w:rFonts w:ascii="Arial" w:hAnsi="Arial" w:eastAsia="宋体" w:cs="Arial"/>
          <w:lang w:val="en-GB"/>
        </w:rPr>
      </w:pPr>
      <w:r>
        <w:rPr>
          <w:rFonts w:hint="default" w:ascii="Times New Roman" w:hAnsi="Times New Roman" w:eastAsia="宋体" w:cs="Times New Roman"/>
          <w:lang w:val="en-GB"/>
        </w:rPr>
        <w:t>塞</w:t>
      </w:r>
      <w:r>
        <w:rPr>
          <w:rFonts w:hint="eastAsia" w:eastAsia="宋体" w:cs="Times New Roman"/>
          <w:lang w:val="en-GB" w:eastAsia="zh-CN"/>
        </w:rPr>
        <w:t>斯先生</w:t>
      </w:r>
      <w:r>
        <w:rPr>
          <w:rFonts w:hint="default" w:ascii="Times New Roman" w:hAnsi="Times New Roman" w:eastAsia="宋体" w:cs="Times New Roman"/>
          <w:lang w:val="en-GB"/>
        </w:rPr>
        <w:t>自1993年起在联合国</w:t>
      </w:r>
      <w:r>
        <w:rPr>
          <w:rFonts w:hint="eastAsia" w:eastAsia="宋体" w:cs="Times New Roman"/>
          <w:lang w:val="en-GB" w:eastAsia="zh-CN"/>
        </w:rPr>
        <w:t>任职</w:t>
      </w:r>
      <w:r>
        <w:rPr>
          <w:rFonts w:hint="default" w:ascii="Times New Roman" w:hAnsi="Times New Roman" w:eastAsia="宋体" w:cs="Times New Roman"/>
          <w:lang w:val="en-GB"/>
        </w:rPr>
        <w:t>，</w:t>
      </w:r>
      <w:r>
        <w:rPr>
          <w:rFonts w:hint="eastAsia" w:eastAsia="宋体" w:cs="Times New Roman"/>
          <w:lang w:val="en-GB" w:eastAsia="zh-CN"/>
        </w:rPr>
        <w:t>期间</w:t>
      </w:r>
      <w:r>
        <w:rPr>
          <w:rFonts w:hint="default" w:ascii="Times New Roman" w:hAnsi="Times New Roman" w:eastAsia="宋体" w:cs="Times New Roman"/>
          <w:lang w:val="en-GB"/>
        </w:rPr>
        <w:t>曾任主管经济和社会事务副秘书长特别助理兼办公室主任（1993年9月至2001年6月）、经社理事会支助和协调办公室政策协调处处长（2001年6月至2003年1月）、经济及社会理事会（the Economic and Social Council，ECOSOC）和联大第二委员会秘书（2003年2月至2006年8月）、经社部经社理事会支助和协调办公室主任（2006年8月至2011年8月），指导经社理事会执行若干新的关键任务，包括年度部长级审查和发展合作论坛。</w:t>
      </w:r>
    </w:p>
    <w:sectPr>
      <w:headerReference r:id="rId3" w:type="default"/>
      <w:pgSz w:w="11906" w:h="16838"/>
      <w:pgMar w:top="1440" w:right="1440" w:bottom="1440" w:left="1440" w:header="709" w:footer="709" w:gutter="0"/>
      <w:pgNumType w:start="3"/>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Praxis LT Regular">
    <w:altName w:val="Segoe Print"/>
    <w:panose1 w:val="00000000000000000000"/>
    <w:charset w:val="00"/>
    <w:family w:val="auto"/>
    <w:pitch w:val="default"/>
    <w:sig w:usb0="00000000" w:usb1="00000000" w:usb2="00000000" w:usb3="00000000" w:csb0="00000001" w:csb1="00000000"/>
  </w:font>
  <w:font w:name="Times New Roman Regular">
    <w:altName w:val="Times New Roman"/>
    <w:panose1 w:val="02020503050405090304"/>
    <w:charset w:val="00"/>
    <w:family w:val="auto"/>
    <w:pitch w:val="default"/>
    <w:sig w:usb0="00000000" w:usb1="00000000" w:usb2="00000001" w:usb3="00000000" w:csb0="400001BF" w:csb1="DFF7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val="de-DE" w:eastAsia="de-DE"/>
      </w:rPr>
      <w:drawing>
        <wp:anchor distT="0" distB="0" distL="114300" distR="114300" simplePos="0" relativeHeight="251660288" behindDoc="1" locked="0" layoutInCell="1" allowOverlap="1">
          <wp:simplePos x="0" y="0"/>
          <wp:positionH relativeFrom="column">
            <wp:posOffset>2533015</wp:posOffset>
          </wp:positionH>
          <wp:positionV relativeFrom="paragraph">
            <wp:posOffset>-74295</wp:posOffset>
          </wp:positionV>
          <wp:extent cx="4083685" cy="885190"/>
          <wp:effectExtent l="0" t="0" r="5715" b="3810"/>
          <wp:wrapNone/>
          <wp:docPr id="24" name="图片 2" descr="77fa2b815b399496a9d880231afc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77fa2b815b399496a9d880231afce47"/>
                  <pic:cNvPicPr>
                    <a:picLocks noChangeAspect="1"/>
                  </pic:cNvPicPr>
                </pic:nvPicPr>
                <pic:blipFill>
                  <a:blip r:embed="rId1"/>
                  <a:stretch>
                    <a:fillRect/>
                  </a:stretch>
                </pic:blipFill>
                <pic:spPr>
                  <a:xfrm>
                    <a:off x="0" y="0"/>
                    <a:ext cx="4083685" cy="885190"/>
                  </a:xfrm>
                  <a:prstGeom prst="rect">
                    <a:avLst/>
                  </a:prstGeom>
                </pic:spPr>
              </pic:pic>
            </a:graphicData>
          </a:graphic>
        </wp:anchor>
      </w:drawing>
    </w:r>
    <w:r>
      <w:rPr>
        <w:lang w:val="de-DE" w:eastAsia="de-DE"/>
      </w:rPr>
      <w:drawing>
        <wp:anchor distT="0" distB="0" distL="114300" distR="114300" simplePos="0" relativeHeight="251661312" behindDoc="1" locked="0" layoutInCell="1" allowOverlap="1">
          <wp:simplePos x="0" y="0"/>
          <wp:positionH relativeFrom="margin">
            <wp:posOffset>-87630</wp:posOffset>
          </wp:positionH>
          <wp:positionV relativeFrom="paragraph">
            <wp:posOffset>56515</wp:posOffset>
          </wp:positionV>
          <wp:extent cx="2324100" cy="643255"/>
          <wp:effectExtent l="0" t="0" r="0" b="5080"/>
          <wp:wrapNone/>
          <wp:docPr id="440922785" name="Picture 440922785" descr="Blue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22785" name="Picture 440922785" descr="Blue letters on a black backgroun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324100" cy="643126"/>
                  </a:xfrm>
                  <a:prstGeom prst="rect">
                    <a:avLst/>
                  </a:prstGeom>
                </pic:spPr>
              </pic:pic>
            </a:graphicData>
          </a:graphic>
        </wp:anchor>
      </w:drawing>
    </w:r>
    <w:r>
      <w:rPr>
        <w:lang w:val="de-DE" w:eastAsia="de-DE"/>
      </w:rPr>
      <w:drawing>
        <wp:anchor distT="0" distB="0" distL="114300" distR="114300" simplePos="0" relativeHeight="251659264" behindDoc="1" locked="0" layoutInCell="1" allowOverlap="1">
          <wp:simplePos x="0" y="0"/>
          <wp:positionH relativeFrom="column">
            <wp:posOffset>-753745</wp:posOffset>
          </wp:positionH>
          <wp:positionV relativeFrom="paragraph">
            <wp:posOffset>-660400</wp:posOffset>
          </wp:positionV>
          <wp:extent cx="7641590" cy="10679430"/>
          <wp:effectExtent l="0" t="0" r="0" b="0"/>
          <wp:wrapNone/>
          <wp:docPr id="5" name="Picture 12"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5" name="Picture 12" descr="Shape&#10;&#10;Description automatically generated with low confidence"/>
                  <pic:cNvPicPr/>
                </pic:nvPicPr>
                <pic:blipFill>
                  <a:blip r:embed="rId3">
                    <a:extLst>
                      <a:ext uri="{28A0092B-C50C-407E-A947-70E740481C1C}">
                        <a14:useLocalDpi xmlns:a14="http://schemas.microsoft.com/office/drawing/2010/main" val="0"/>
                      </a:ext>
                    </a:extLst>
                  </a:blip>
                  <a:srcRect/>
                  <a:stretch>
                    <a:fillRect/>
                  </a:stretch>
                </pic:blipFill>
                <pic:spPr>
                  <a:xfrm>
                    <a:off x="0" y="0"/>
                    <a:ext cx="7641590" cy="1067943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C84137"/>
    <w:multiLevelType w:val="multilevel"/>
    <w:tmpl w:val="19C84137"/>
    <w:lvl w:ilvl="0" w:tentative="0">
      <w:start w:val="0"/>
      <w:numFmt w:val="bullet"/>
      <w:lvlText w:val=""/>
      <w:lvlJc w:val="left"/>
      <w:pPr>
        <w:ind w:left="720" w:hanging="360"/>
      </w:pPr>
      <w:rPr>
        <w:rFonts w:hint="default" w:ascii="Symbol" w:hAnsi="Symbol" w:eastAsiaTheme="minorEastAsia" w:cstheme="minorBi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ViZWE1ZmZhN2QyMDg3M2YzZDY5MDk3NTc5ZTg4ODgifQ=="/>
  </w:docVars>
  <w:rsids>
    <w:rsidRoot w:val="00D1567F"/>
    <w:rsid w:val="000323EB"/>
    <w:rsid w:val="000334A1"/>
    <w:rsid w:val="00037B62"/>
    <w:rsid w:val="00085A09"/>
    <w:rsid w:val="000D788A"/>
    <w:rsid w:val="000F130B"/>
    <w:rsid w:val="001178A1"/>
    <w:rsid w:val="00151A43"/>
    <w:rsid w:val="00177E40"/>
    <w:rsid w:val="001C1756"/>
    <w:rsid w:val="001E38E3"/>
    <w:rsid w:val="0021385F"/>
    <w:rsid w:val="002373E7"/>
    <w:rsid w:val="00264B9B"/>
    <w:rsid w:val="00293168"/>
    <w:rsid w:val="002B122D"/>
    <w:rsid w:val="002D2FFF"/>
    <w:rsid w:val="003040A5"/>
    <w:rsid w:val="0030545C"/>
    <w:rsid w:val="00363960"/>
    <w:rsid w:val="00377AC0"/>
    <w:rsid w:val="00385582"/>
    <w:rsid w:val="003956EF"/>
    <w:rsid w:val="003C652D"/>
    <w:rsid w:val="003E4051"/>
    <w:rsid w:val="003E5E27"/>
    <w:rsid w:val="003E6473"/>
    <w:rsid w:val="004050BB"/>
    <w:rsid w:val="00490B87"/>
    <w:rsid w:val="004C35F3"/>
    <w:rsid w:val="004F0E14"/>
    <w:rsid w:val="005225E7"/>
    <w:rsid w:val="0059377E"/>
    <w:rsid w:val="00612F08"/>
    <w:rsid w:val="006222D6"/>
    <w:rsid w:val="006B09CA"/>
    <w:rsid w:val="007239D8"/>
    <w:rsid w:val="00734849"/>
    <w:rsid w:val="0074073E"/>
    <w:rsid w:val="007D283B"/>
    <w:rsid w:val="008524B8"/>
    <w:rsid w:val="00895837"/>
    <w:rsid w:val="008C5D2C"/>
    <w:rsid w:val="00992EF5"/>
    <w:rsid w:val="00993542"/>
    <w:rsid w:val="009A614C"/>
    <w:rsid w:val="009B19D4"/>
    <w:rsid w:val="009E0C51"/>
    <w:rsid w:val="009E757B"/>
    <w:rsid w:val="00A33958"/>
    <w:rsid w:val="00AD022B"/>
    <w:rsid w:val="00BB2D2B"/>
    <w:rsid w:val="00C62104"/>
    <w:rsid w:val="00CD749B"/>
    <w:rsid w:val="00CF18A1"/>
    <w:rsid w:val="00D1567F"/>
    <w:rsid w:val="00D44AF5"/>
    <w:rsid w:val="00DA2710"/>
    <w:rsid w:val="00DD1082"/>
    <w:rsid w:val="00DD46FD"/>
    <w:rsid w:val="00DE19F1"/>
    <w:rsid w:val="00DF6672"/>
    <w:rsid w:val="00EB22D0"/>
    <w:rsid w:val="00EB3DA1"/>
    <w:rsid w:val="00ED08FE"/>
    <w:rsid w:val="00F55268"/>
    <w:rsid w:val="00F56127"/>
    <w:rsid w:val="00FF03F0"/>
    <w:rsid w:val="05C4357A"/>
    <w:rsid w:val="0771468E"/>
    <w:rsid w:val="092821FF"/>
    <w:rsid w:val="0D9A6E96"/>
    <w:rsid w:val="0F8B4CE8"/>
    <w:rsid w:val="10C8245A"/>
    <w:rsid w:val="127C6D88"/>
    <w:rsid w:val="133D789C"/>
    <w:rsid w:val="14060DE1"/>
    <w:rsid w:val="15AA142B"/>
    <w:rsid w:val="187A2BF1"/>
    <w:rsid w:val="18B04E1D"/>
    <w:rsid w:val="19F10391"/>
    <w:rsid w:val="1A5F749D"/>
    <w:rsid w:val="22FC255D"/>
    <w:rsid w:val="27715ADA"/>
    <w:rsid w:val="294A6140"/>
    <w:rsid w:val="2C0E2AD1"/>
    <w:rsid w:val="2FBB1603"/>
    <w:rsid w:val="2FEA3D91"/>
    <w:rsid w:val="31BA18BD"/>
    <w:rsid w:val="34F311A7"/>
    <w:rsid w:val="39E50B60"/>
    <w:rsid w:val="3F775EB1"/>
    <w:rsid w:val="40FA3493"/>
    <w:rsid w:val="43340C18"/>
    <w:rsid w:val="44A6270A"/>
    <w:rsid w:val="475761AB"/>
    <w:rsid w:val="4F9A042C"/>
    <w:rsid w:val="504D0F6A"/>
    <w:rsid w:val="59250360"/>
    <w:rsid w:val="5E4916D8"/>
    <w:rsid w:val="610F2AE3"/>
    <w:rsid w:val="62E70A4E"/>
    <w:rsid w:val="63C21A38"/>
    <w:rsid w:val="64E42ABB"/>
    <w:rsid w:val="767C6E79"/>
    <w:rsid w:val="76B420EC"/>
    <w:rsid w:val="778E2EE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heme="minorHAnsi" w:hAnsiTheme="minorHAnsi" w:eastAsiaTheme="minorEastAsia" w:cstheme="minorBidi"/>
      <w:sz w:val="24"/>
      <w:szCs w:val="24"/>
      <w:lang w:val="zh-CN" w:eastAsia="zh-CN" w:bidi="ar-SA"/>
    </w:rPr>
  </w:style>
  <w:style w:type="paragraph" w:styleId="2">
    <w:name w:val="heading 1"/>
    <w:basedOn w:val="1"/>
    <w:next w:val="1"/>
    <w:link w:val="13"/>
    <w:autoRedefine/>
    <w:qFormat/>
    <w:uiPriority w:val="0"/>
    <w:pPr>
      <w:keepNext/>
      <w:keepLines/>
      <w:spacing w:line="288" w:lineRule="auto"/>
      <w:outlineLvl w:val="0"/>
    </w:pPr>
    <w:rPr>
      <w:rFonts w:ascii="Praxis LT Regular" w:hAnsi="Praxis LT Regular" w:eastAsia="Times New Roman" w:cs="Times New Roman"/>
      <w:bCs/>
      <w:color w:val="3E8EDE"/>
      <w:sz w:val="40"/>
      <w:szCs w:val="28"/>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semiHidden/>
    <w:unhideWhenUsed/>
    <w:qFormat/>
    <w:uiPriority w:val="99"/>
  </w:style>
  <w:style w:type="paragraph" w:styleId="4">
    <w:name w:val="footer"/>
    <w:basedOn w:val="1"/>
    <w:link w:val="12"/>
    <w:autoRedefine/>
    <w:unhideWhenUsed/>
    <w:qFormat/>
    <w:uiPriority w:val="99"/>
    <w:pPr>
      <w:tabs>
        <w:tab w:val="center" w:pos="4513"/>
        <w:tab w:val="right" w:pos="9026"/>
      </w:tabs>
    </w:pPr>
  </w:style>
  <w:style w:type="paragraph" w:styleId="5">
    <w:name w:val="header"/>
    <w:basedOn w:val="1"/>
    <w:link w:val="11"/>
    <w:autoRedefine/>
    <w:unhideWhenUsed/>
    <w:qFormat/>
    <w:uiPriority w:val="99"/>
    <w:pPr>
      <w:tabs>
        <w:tab w:val="center" w:pos="4513"/>
        <w:tab w:val="right" w:pos="9026"/>
      </w:tabs>
    </w:pPr>
  </w:style>
  <w:style w:type="paragraph" w:styleId="6">
    <w:name w:val="Normal (Web)"/>
    <w:basedOn w:val="1"/>
    <w:autoRedefine/>
    <w:unhideWhenUsed/>
    <w:qFormat/>
    <w:uiPriority w:val="99"/>
    <w:pPr>
      <w:spacing w:before="100" w:beforeAutospacing="1" w:after="100" w:afterAutospacing="1"/>
    </w:pPr>
    <w:rPr>
      <w:rFonts w:ascii="Times New Roman" w:hAnsi="Times New Roman" w:eastAsia="Times New Roman" w:cs="Times New Roman"/>
    </w:rPr>
  </w:style>
  <w:style w:type="paragraph" w:styleId="9">
    <w:name w:val="List Paragraph"/>
    <w:basedOn w:val="1"/>
    <w:autoRedefine/>
    <w:qFormat/>
    <w:uiPriority w:val="34"/>
    <w:pPr>
      <w:ind w:left="720"/>
      <w:contextualSpacing/>
    </w:pPr>
  </w:style>
  <w:style w:type="paragraph" w:customStyle="1" w:styleId="10">
    <w:name w:val="Revision1"/>
    <w:autoRedefine/>
    <w:hidden/>
    <w:semiHidden/>
    <w:qFormat/>
    <w:uiPriority w:val="99"/>
    <w:rPr>
      <w:rFonts w:asciiTheme="minorHAnsi" w:hAnsiTheme="minorHAnsi" w:eastAsiaTheme="minorEastAsia" w:cstheme="minorBidi"/>
      <w:sz w:val="24"/>
      <w:szCs w:val="24"/>
      <w:lang w:val="zh-CN" w:eastAsia="zh-CN" w:bidi="ar-SA"/>
    </w:rPr>
  </w:style>
  <w:style w:type="character" w:customStyle="1" w:styleId="11">
    <w:name w:val="页眉 字符"/>
    <w:basedOn w:val="8"/>
    <w:link w:val="5"/>
    <w:autoRedefine/>
    <w:qFormat/>
    <w:uiPriority w:val="99"/>
    <w:rPr>
      <w:sz w:val="24"/>
      <w:szCs w:val="24"/>
      <w:lang w:val="zh-CN"/>
    </w:rPr>
  </w:style>
  <w:style w:type="character" w:customStyle="1" w:styleId="12">
    <w:name w:val="页脚 字符"/>
    <w:basedOn w:val="8"/>
    <w:link w:val="4"/>
    <w:autoRedefine/>
    <w:qFormat/>
    <w:uiPriority w:val="99"/>
    <w:rPr>
      <w:sz w:val="24"/>
      <w:szCs w:val="24"/>
      <w:lang w:val="zh-CN"/>
    </w:rPr>
  </w:style>
  <w:style w:type="character" w:customStyle="1" w:styleId="13">
    <w:name w:val="标题 1 字符"/>
    <w:basedOn w:val="8"/>
    <w:link w:val="2"/>
    <w:autoRedefine/>
    <w:qFormat/>
    <w:uiPriority w:val="0"/>
    <w:rPr>
      <w:rFonts w:ascii="Praxis LT Regular" w:hAnsi="Praxis LT Regular" w:eastAsia="Times New Roman" w:cs="Times New Roman"/>
      <w:bCs/>
      <w:color w:val="3E8EDE"/>
      <w:sz w:val="40"/>
      <w:szCs w:val="28"/>
      <w:lang w:val="zh-CN"/>
    </w:rPr>
  </w:style>
  <w:style w:type="paragraph" w:customStyle="1" w:styleId="14">
    <w:name w:val="Revision2"/>
    <w:autoRedefine/>
    <w:hidden/>
    <w:semiHidden/>
    <w:qFormat/>
    <w:uiPriority w:val="99"/>
    <w:rPr>
      <w:rFonts w:asciiTheme="minorHAnsi" w:hAnsiTheme="minorHAnsi" w:eastAsiaTheme="minorEastAsia" w:cstheme="minorBidi"/>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264</Words>
  <Characters>1510</Characters>
  <Lines>12</Lines>
  <Paragraphs>3</Paragraphs>
  <TotalTime>2</TotalTime>
  <ScaleCrop>false</ScaleCrop>
  <LinksUpToDate>false</LinksUpToDate>
  <CharactersWithSpaces>1771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2024-03-27T05:17:00Z</dcterms:created>
  <dc:creator>Alison CHEN</dc:creator>
  <cp:lastModifiedBy>universe</cp:lastModifiedBy>
  <dcterms:modified xsi:type="dcterms:W3CDTF">2024-04-03T06:31:06Z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E38B85AFCE224AF3B0276FC4929A1F5E_13</vt:lpwstr>
  </property>
</Properties>
</file>